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01635" w14:textId="77777777" w:rsidR="00D856D8" w:rsidRPr="007D459E" w:rsidRDefault="007D459E" w:rsidP="007D459E">
      <w:pPr>
        <w:jc w:val="center"/>
        <w:rPr>
          <w:b/>
          <w:sz w:val="28"/>
        </w:rPr>
      </w:pPr>
      <w:r w:rsidRPr="007D459E">
        <w:rPr>
          <w:b/>
          <w:sz w:val="28"/>
        </w:rPr>
        <w:t>VGI Use Case Sub Group</w:t>
      </w:r>
    </w:p>
    <w:p w14:paraId="7F60C0B3" w14:textId="7BEA9D1F" w:rsidR="007D459E" w:rsidRDefault="00E94129" w:rsidP="007D459E">
      <w:pPr>
        <w:jc w:val="center"/>
        <w:rPr>
          <w:b/>
        </w:rPr>
      </w:pPr>
      <w:r>
        <w:rPr>
          <w:b/>
        </w:rPr>
        <w:t>15</w:t>
      </w:r>
      <w:r w:rsidR="007D459E" w:rsidRPr="007D459E">
        <w:rPr>
          <w:b/>
        </w:rPr>
        <w:t xml:space="preserve"> June 2017 </w:t>
      </w:r>
      <w:r w:rsidR="007D459E">
        <w:rPr>
          <w:b/>
        </w:rPr>
        <w:t>Meeting Minutes</w:t>
      </w:r>
    </w:p>
    <w:p w14:paraId="3DCD7DE0" w14:textId="77777777" w:rsidR="007D459E" w:rsidRPr="007D459E" w:rsidRDefault="007D459E" w:rsidP="007D459E"/>
    <w:p w14:paraId="0F62D51E" w14:textId="77777777" w:rsidR="007D459E" w:rsidRDefault="007D459E">
      <w:r>
        <w:t>Attendees:</w:t>
      </w:r>
    </w:p>
    <w:p w14:paraId="07CB48C8" w14:textId="77777777" w:rsidR="001D6731" w:rsidRDefault="001D6731" w:rsidP="00C45604">
      <w:pPr>
        <w:spacing w:after="0" w:line="240" w:lineRule="auto"/>
      </w:pPr>
      <w:r>
        <w:t>Abigail Tinker, PG&amp;E</w:t>
      </w:r>
    </w:p>
    <w:p w14:paraId="427007AE" w14:textId="1D635BF3" w:rsidR="001D6731" w:rsidRDefault="001D6731" w:rsidP="00C45604">
      <w:pPr>
        <w:spacing w:after="0" w:line="240" w:lineRule="auto"/>
      </w:pPr>
      <w:r>
        <w:t>Barry Sole, Porsche</w:t>
      </w:r>
    </w:p>
    <w:p w14:paraId="0D4FC908" w14:textId="6BA8B68C" w:rsidR="00C45604" w:rsidRDefault="00C45604" w:rsidP="00C45604">
      <w:pPr>
        <w:spacing w:after="0" w:line="240" w:lineRule="auto"/>
      </w:pPr>
      <w:r>
        <w:t>Dean Taylor, SCE</w:t>
      </w:r>
    </w:p>
    <w:p w14:paraId="48DFF2E0" w14:textId="2FD6CBA0" w:rsidR="00C45604" w:rsidRDefault="001D6731" w:rsidP="00C45604">
      <w:pPr>
        <w:spacing w:after="0" w:line="240" w:lineRule="auto"/>
      </w:pPr>
      <w:r>
        <w:t xml:space="preserve">Elise </w:t>
      </w:r>
      <w:proofErr w:type="spellStart"/>
      <w:r>
        <w:t>Kedd</w:t>
      </w:r>
      <w:r w:rsidR="00C45604">
        <w:t>ing</w:t>
      </w:r>
      <w:proofErr w:type="spellEnd"/>
      <w:r w:rsidR="00C45604">
        <w:t>, CARB</w:t>
      </w:r>
    </w:p>
    <w:p w14:paraId="52755357" w14:textId="77777777" w:rsidR="007D459E" w:rsidRDefault="00447985" w:rsidP="007D459E">
      <w:pPr>
        <w:spacing w:after="0" w:line="240" w:lineRule="auto"/>
      </w:pPr>
      <w:proofErr w:type="spellStart"/>
      <w:r>
        <w:t>Ga</w:t>
      </w:r>
      <w:r w:rsidR="00DE1394">
        <w:t>di</w:t>
      </w:r>
      <w:proofErr w:type="spellEnd"/>
      <w:r w:rsidR="00DE1394">
        <w:t xml:space="preserve"> Lenz</w:t>
      </w:r>
      <w:r>
        <w:t>, IoTecha</w:t>
      </w:r>
    </w:p>
    <w:p w14:paraId="7A0B13E2" w14:textId="3007220A" w:rsidR="00C45604" w:rsidRDefault="00C45604" w:rsidP="00C45604">
      <w:pPr>
        <w:spacing w:after="0" w:line="240" w:lineRule="auto"/>
      </w:pPr>
      <w:r>
        <w:t>George Bellino, EPRI</w:t>
      </w:r>
    </w:p>
    <w:p w14:paraId="1CB1A384" w14:textId="203FB1CF" w:rsidR="001D6731" w:rsidRDefault="001D6731" w:rsidP="00C45604">
      <w:pPr>
        <w:spacing w:after="0" w:line="240" w:lineRule="auto"/>
      </w:pPr>
      <w:r>
        <w:t>Hank McGlynn, AEYCH</w:t>
      </w:r>
    </w:p>
    <w:p w14:paraId="03808C69" w14:textId="0D130911" w:rsidR="001D6731" w:rsidRDefault="001D6731" w:rsidP="00C45604">
      <w:pPr>
        <w:spacing w:after="0" w:line="240" w:lineRule="auto"/>
      </w:pPr>
      <w:r>
        <w:t>Jeremy Whaling, Honda</w:t>
      </w:r>
    </w:p>
    <w:p w14:paraId="1606B8CB" w14:textId="77777777" w:rsidR="00C45604" w:rsidRDefault="00C45604" w:rsidP="00C45604">
      <w:pPr>
        <w:spacing w:after="0" w:line="240" w:lineRule="auto"/>
      </w:pPr>
      <w:r>
        <w:t xml:space="preserve">Justin </w:t>
      </w:r>
      <w:proofErr w:type="spellStart"/>
      <w:r>
        <w:t>Regnier</w:t>
      </w:r>
      <w:proofErr w:type="spellEnd"/>
      <w:r>
        <w:t>, CEC</w:t>
      </w:r>
      <w:r w:rsidRPr="00C45604">
        <w:t xml:space="preserve"> </w:t>
      </w:r>
    </w:p>
    <w:p w14:paraId="6C12F95F" w14:textId="77777777" w:rsidR="00C45604" w:rsidRDefault="00C45604" w:rsidP="00C45604">
      <w:pPr>
        <w:spacing w:after="0" w:line="240" w:lineRule="auto"/>
      </w:pPr>
      <w:r>
        <w:t>Lance Atkins, Nissan</w:t>
      </w:r>
    </w:p>
    <w:p w14:paraId="231146D5" w14:textId="1CB3C96B" w:rsidR="00447985" w:rsidRDefault="00447985" w:rsidP="007D459E">
      <w:pPr>
        <w:spacing w:after="0" w:line="240" w:lineRule="auto"/>
      </w:pPr>
      <w:r>
        <w:t>Mike Bourton, Kitu Systems</w:t>
      </w:r>
    </w:p>
    <w:p w14:paraId="3842E085" w14:textId="58A43EB9" w:rsidR="001D6731" w:rsidRDefault="001D6731" w:rsidP="007D459E">
      <w:pPr>
        <w:spacing w:after="0" w:line="240" w:lineRule="auto"/>
      </w:pPr>
      <w:r>
        <w:t>Niki Deleon, Kitu Systems</w:t>
      </w:r>
    </w:p>
    <w:p w14:paraId="68D720B5" w14:textId="77777777" w:rsidR="00447985" w:rsidRDefault="00447985" w:rsidP="007D459E">
      <w:pPr>
        <w:spacing w:after="0" w:line="240" w:lineRule="auto"/>
      </w:pPr>
      <w:r>
        <w:t xml:space="preserve">Scott </w:t>
      </w:r>
      <w:proofErr w:type="spellStart"/>
      <w:r>
        <w:t>Turik</w:t>
      </w:r>
      <w:proofErr w:type="spellEnd"/>
      <w:r>
        <w:t>, Ford</w:t>
      </w:r>
    </w:p>
    <w:p w14:paraId="200EBCF6" w14:textId="77777777" w:rsidR="00447985" w:rsidRDefault="00447985" w:rsidP="007D459E">
      <w:pPr>
        <w:spacing w:after="0" w:line="240" w:lineRule="auto"/>
      </w:pPr>
      <w:r>
        <w:t xml:space="preserve">Stephan </w:t>
      </w:r>
      <w:proofErr w:type="spellStart"/>
      <w:r>
        <w:t>Voit</w:t>
      </w:r>
      <w:proofErr w:type="spellEnd"/>
      <w:r>
        <w:t>, Oxygen Initiative</w:t>
      </w:r>
    </w:p>
    <w:p w14:paraId="7073F0D9" w14:textId="77777777" w:rsidR="00C45604" w:rsidRDefault="00C45604" w:rsidP="00C45604">
      <w:pPr>
        <w:spacing w:after="0" w:line="240" w:lineRule="auto"/>
      </w:pPr>
      <w:r>
        <w:t>Stephanie Palmer, CARB</w:t>
      </w:r>
    </w:p>
    <w:p w14:paraId="239BD1D5" w14:textId="77777777" w:rsidR="006E30C1" w:rsidRDefault="006E30C1" w:rsidP="007D459E">
      <w:pPr>
        <w:spacing w:after="0" w:line="240" w:lineRule="auto"/>
      </w:pPr>
    </w:p>
    <w:p w14:paraId="2BCD8C75" w14:textId="77777777" w:rsidR="006E30C1" w:rsidRDefault="006E30C1" w:rsidP="007D459E">
      <w:pPr>
        <w:spacing w:after="0" w:line="240" w:lineRule="auto"/>
      </w:pPr>
    </w:p>
    <w:p w14:paraId="07922133" w14:textId="77777777" w:rsidR="006E30C1" w:rsidRDefault="006E30C1" w:rsidP="007D459E">
      <w:pPr>
        <w:spacing w:after="0" w:line="240" w:lineRule="auto"/>
      </w:pPr>
      <w:r>
        <w:t>Following are the highlights of the discussions during the meeting:</w:t>
      </w:r>
    </w:p>
    <w:p w14:paraId="0C1059F4" w14:textId="77777777" w:rsidR="006E30C1" w:rsidRDefault="006E30C1" w:rsidP="007D459E">
      <w:pPr>
        <w:spacing w:after="0" w:line="240" w:lineRule="auto"/>
      </w:pPr>
    </w:p>
    <w:p w14:paraId="6A57907F" w14:textId="58469CC9" w:rsidR="006E30C1" w:rsidRDefault="006E30C1" w:rsidP="007D459E">
      <w:pPr>
        <w:spacing w:after="0" w:line="240" w:lineRule="auto"/>
      </w:pPr>
      <w:r>
        <w:t xml:space="preserve">Mike Bourton chaired the meeting. </w:t>
      </w:r>
      <w:r w:rsidR="00D22A4C">
        <w:t xml:space="preserve">The agenda for use case reviews </w:t>
      </w:r>
      <w:r w:rsidR="00683740">
        <w:t>were</w:t>
      </w:r>
      <w:r w:rsidR="00D22A4C">
        <w:t>:</w:t>
      </w:r>
    </w:p>
    <w:p w14:paraId="5EC90DEE" w14:textId="77777777" w:rsidR="00D22A4C" w:rsidRPr="00D22A4C" w:rsidRDefault="00D22A4C" w:rsidP="00D22A4C">
      <w:pPr>
        <w:shd w:val="clear" w:color="auto" w:fill="FFFFFF"/>
        <w:spacing w:after="0" w:line="240" w:lineRule="auto"/>
        <w:ind w:left="720"/>
        <w:rPr>
          <w:rFonts w:eastAsia="Times New Roman" w:cstheme="minorHAnsi"/>
          <w:color w:val="222222"/>
          <w:sz w:val="19"/>
          <w:szCs w:val="19"/>
        </w:rPr>
      </w:pPr>
      <w:r w:rsidRPr="00D22A4C">
        <w:rPr>
          <w:rFonts w:eastAsia="Times New Roman" w:cstheme="minorHAnsi"/>
          <w:color w:val="222222"/>
        </w:rPr>
        <w:t>7:40am DC Charge-Discharge System Use Cases – Lance Atkins</w:t>
      </w:r>
    </w:p>
    <w:p w14:paraId="6228483D" w14:textId="77777777" w:rsidR="00D22A4C" w:rsidRPr="00D22A4C" w:rsidRDefault="00D22A4C" w:rsidP="00D22A4C">
      <w:pPr>
        <w:shd w:val="clear" w:color="auto" w:fill="FFFFFF"/>
        <w:spacing w:after="0" w:line="240" w:lineRule="auto"/>
        <w:ind w:left="720"/>
        <w:rPr>
          <w:rFonts w:eastAsia="Times New Roman" w:cstheme="minorHAnsi"/>
          <w:color w:val="222222"/>
          <w:sz w:val="19"/>
          <w:szCs w:val="19"/>
        </w:rPr>
      </w:pPr>
      <w:r w:rsidRPr="00D22A4C">
        <w:rPr>
          <w:rFonts w:eastAsia="Times New Roman" w:cstheme="minorHAnsi"/>
          <w:color w:val="222222"/>
        </w:rPr>
        <w:t>8:00am DER V2G-DC Use Case – Hank McGlynn</w:t>
      </w:r>
    </w:p>
    <w:p w14:paraId="3E6831C3" w14:textId="77777777" w:rsidR="00D22A4C" w:rsidRPr="00D22A4C" w:rsidRDefault="00D22A4C" w:rsidP="00D22A4C">
      <w:pPr>
        <w:shd w:val="clear" w:color="auto" w:fill="FFFFFF"/>
        <w:spacing w:after="0" w:line="240" w:lineRule="auto"/>
        <w:ind w:left="720"/>
        <w:rPr>
          <w:rFonts w:eastAsia="Times New Roman" w:cstheme="minorHAnsi"/>
          <w:color w:val="222222"/>
          <w:sz w:val="19"/>
          <w:szCs w:val="19"/>
        </w:rPr>
      </w:pPr>
      <w:r w:rsidRPr="00D22A4C">
        <w:rPr>
          <w:rFonts w:eastAsia="Times New Roman" w:cstheme="minorHAnsi"/>
          <w:color w:val="222222"/>
        </w:rPr>
        <w:t>8:20am DER V2G-AC Use Case – Hank McGlynn</w:t>
      </w:r>
    </w:p>
    <w:p w14:paraId="21EB1ECB" w14:textId="6BF71F9A" w:rsidR="00D22A4C" w:rsidRDefault="00D22A4C" w:rsidP="00B11B74">
      <w:pPr>
        <w:shd w:val="clear" w:color="auto" w:fill="FFFFFF"/>
        <w:spacing w:after="240" w:line="240" w:lineRule="auto"/>
        <w:ind w:left="720"/>
        <w:rPr>
          <w:rFonts w:eastAsia="Times New Roman" w:cstheme="minorHAnsi"/>
          <w:color w:val="222222"/>
        </w:rPr>
      </w:pPr>
      <w:r w:rsidRPr="00D22A4C">
        <w:rPr>
          <w:rFonts w:eastAsia="Times New Roman" w:cstheme="minorHAnsi"/>
          <w:color w:val="222222"/>
        </w:rPr>
        <w:t>8:40am PEV as DER – CA Rule 21 – Niki DeLeon</w:t>
      </w:r>
    </w:p>
    <w:p w14:paraId="7C252A54" w14:textId="7CBE7372" w:rsidR="00D22A4C" w:rsidRDefault="00AE7389" w:rsidP="00D22A4C">
      <w:pPr>
        <w:shd w:val="clear" w:color="auto" w:fill="FFFFFF"/>
        <w:spacing w:after="240" w:line="240" w:lineRule="auto"/>
        <w:rPr>
          <w:rFonts w:eastAsia="Times New Roman" w:cstheme="minorHAnsi"/>
          <w:color w:val="222222"/>
        </w:rPr>
      </w:pPr>
      <w:r>
        <w:rPr>
          <w:rFonts w:eastAsia="Times New Roman" w:cstheme="minorHAnsi"/>
          <w:color w:val="222222"/>
        </w:rPr>
        <w:t xml:space="preserve">Lance Atkins discussed </w:t>
      </w:r>
      <w:r w:rsidR="003206AB">
        <w:rPr>
          <w:rFonts w:eastAsia="Times New Roman" w:cstheme="minorHAnsi"/>
          <w:color w:val="222222"/>
        </w:rPr>
        <w:t xml:space="preserve">the DC Charge-Discharge System Use Cases </w:t>
      </w:r>
      <w:r w:rsidR="0099574A">
        <w:rPr>
          <w:rFonts w:eastAsia="Times New Roman" w:cstheme="minorHAnsi"/>
          <w:color w:val="222222"/>
        </w:rPr>
        <w:t>which addresses</w:t>
      </w:r>
      <w:r w:rsidR="003206AB">
        <w:rPr>
          <w:rFonts w:eastAsia="Times New Roman" w:cstheme="minorHAnsi"/>
          <w:color w:val="222222"/>
        </w:rPr>
        <w:t xml:space="preserve"> the elements of the system including grid interconnection switch </w:t>
      </w:r>
      <w:r w:rsidR="00FB70D8">
        <w:rPr>
          <w:rFonts w:eastAsia="Times New Roman" w:cstheme="minorHAnsi"/>
          <w:color w:val="222222"/>
        </w:rPr>
        <w:t xml:space="preserve">or EVSE connection to a non-grid home dedicated circuit </w:t>
      </w:r>
      <w:r w:rsidR="003206AB">
        <w:rPr>
          <w:rFonts w:eastAsia="Times New Roman" w:cstheme="minorHAnsi"/>
          <w:color w:val="222222"/>
        </w:rPr>
        <w:t xml:space="preserve">for </w:t>
      </w:r>
      <w:r w:rsidR="00FB70D8">
        <w:rPr>
          <w:rFonts w:eastAsia="Times New Roman" w:cstheme="minorHAnsi"/>
          <w:color w:val="222222"/>
        </w:rPr>
        <w:t>using</w:t>
      </w:r>
      <w:r w:rsidR="003206AB">
        <w:rPr>
          <w:rFonts w:eastAsia="Times New Roman" w:cstheme="minorHAnsi"/>
          <w:color w:val="222222"/>
        </w:rPr>
        <w:t xml:space="preserve"> EV as an energy storage resource for home loads, </w:t>
      </w:r>
      <w:r w:rsidR="0099574A">
        <w:rPr>
          <w:rFonts w:eastAsia="Times New Roman" w:cstheme="minorHAnsi"/>
          <w:color w:val="222222"/>
        </w:rPr>
        <w:t xml:space="preserve">and </w:t>
      </w:r>
      <w:r w:rsidR="003206AB">
        <w:rPr>
          <w:rFonts w:eastAsia="Times New Roman" w:cstheme="minorHAnsi"/>
          <w:color w:val="222222"/>
        </w:rPr>
        <w:t xml:space="preserve">the capability to use the EV as an energy storage resource </w:t>
      </w:r>
      <w:r w:rsidR="00FB70D8">
        <w:rPr>
          <w:rFonts w:eastAsia="Times New Roman" w:cstheme="minorHAnsi"/>
          <w:color w:val="222222"/>
        </w:rPr>
        <w:t>for rene</w:t>
      </w:r>
      <w:r w:rsidR="003206AB">
        <w:rPr>
          <w:rFonts w:eastAsia="Times New Roman" w:cstheme="minorHAnsi"/>
          <w:color w:val="222222"/>
        </w:rPr>
        <w:t xml:space="preserve">wables </w:t>
      </w:r>
      <w:r w:rsidR="00FB70D8">
        <w:rPr>
          <w:rFonts w:eastAsia="Times New Roman" w:cstheme="minorHAnsi"/>
          <w:color w:val="222222"/>
        </w:rPr>
        <w:t>(solar). Functionalities include home back-up emergency power, maximize</w:t>
      </w:r>
      <w:r w:rsidR="00B11B74">
        <w:rPr>
          <w:rFonts w:eastAsia="Times New Roman" w:cstheme="minorHAnsi"/>
          <w:color w:val="222222"/>
        </w:rPr>
        <w:t>d</w:t>
      </w:r>
      <w:r w:rsidR="00FB70D8">
        <w:rPr>
          <w:rFonts w:eastAsia="Times New Roman" w:cstheme="minorHAnsi"/>
          <w:color w:val="222222"/>
        </w:rPr>
        <w:t xml:space="preserve"> use of solar, load shifting base</w:t>
      </w:r>
      <w:r w:rsidR="00B11B74">
        <w:rPr>
          <w:rFonts w:eastAsia="Times New Roman" w:cstheme="minorHAnsi"/>
          <w:color w:val="222222"/>
        </w:rPr>
        <w:t>d on TOU rates and/or</w:t>
      </w:r>
      <w:r w:rsidR="00FB70D8">
        <w:rPr>
          <w:rFonts w:eastAsia="Times New Roman" w:cstheme="minorHAnsi"/>
          <w:color w:val="222222"/>
        </w:rPr>
        <w:t xml:space="preserve"> DR pricing events, and </w:t>
      </w:r>
      <w:r w:rsidR="00B11B74">
        <w:rPr>
          <w:rFonts w:eastAsia="Times New Roman" w:cstheme="minorHAnsi"/>
          <w:color w:val="222222"/>
        </w:rPr>
        <w:t xml:space="preserve">other EV V2G related grid energy services. Lance indicated Nissan is implementing IEEE2030.5 protocol with CHAdeMO for </w:t>
      </w:r>
      <w:r w:rsidR="00683740">
        <w:rPr>
          <w:rFonts w:eastAsia="Times New Roman" w:cstheme="minorHAnsi"/>
          <w:color w:val="222222"/>
        </w:rPr>
        <w:t xml:space="preserve">VGI communications. </w:t>
      </w:r>
      <w:r w:rsidR="004A5393">
        <w:rPr>
          <w:rFonts w:eastAsia="Times New Roman" w:cstheme="minorHAnsi"/>
          <w:color w:val="222222"/>
        </w:rPr>
        <w:t xml:space="preserve">Determined </w:t>
      </w:r>
      <w:r w:rsidR="00F76337">
        <w:rPr>
          <w:rFonts w:eastAsia="Times New Roman" w:cstheme="minorHAnsi"/>
          <w:color w:val="222222"/>
        </w:rPr>
        <w:t>the tags will be Non-Aggregated and</w:t>
      </w:r>
      <w:r w:rsidR="004A5393">
        <w:rPr>
          <w:rFonts w:eastAsia="Times New Roman" w:cstheme="minorHAnsi"/>
          <w:color w:val="222222"/>
        </w:rPr>
        <w:t xml:space="preserve"> Unified</w:t>
      </w:r>
      <w:r w:rsidR="00F76337">
        <w:rPr>
          <w:rFonts w:eastAsia="Times New Roman" w:cstheme="minorHAnsi"/>
          <w:color w:val="222222"/>
        </w:rPr>
        <w:t xml:space="preserve">. </w:t>
      </w:r>
    </w:p>
    <w:p w14:paraId="2CE3540C" w14:textId="7C8AB4C7" w:rsidR="00683740" w:rsidRPr="00D22A4C" w:rsidRDefault="00F76337" w:rsidP="00D22A4C">
      <w:pPr>
        <w:shd w:val="clear" w:color="auto" w:fill="FFFFFF"/>
        <w:spacing w:after="240" w:line="240" w:lineRule="auto"/>
        <w:rPr>
          <w:rFonts w:eastAsia="Times New Roman" w:cstheme="minorHAnsi"/>
          <w:color w:val="222222"/>
          <w:sz w:val="19"/>
          <w:szCs w:val="19"/>
        </w:rPr>
      </w:pPr>
      <w:r>
        <w:rPr>
          <w:rFonts w:eastAsia="Times New Roman" w:cstheme="minorHAnsi"/>
          <w:color w:val="222222"/>
        </w:rPr>
        <w:t xml:space="preserve">Hank McGlynn provided a summary presentation (uploaded to the Use Case Sub Group Drop Box) for the SAE DER V2G-AC and DER V2G-DC Use Case. </w:t>
      </w:r>
      <w:r w:rsidR="00364A1D">
        <w:rPr>
          <w:rFonts w:eastAsia="Times New Roman" w:cstheme="minorHAnsi"/>
          <w:color w:val="222222"/>
        </w:rPr>
        <w:t xml:space="preserve">The overarching SAE standard containing the use cases for V2G is J2836/3 which incorporates </w:t>
      </w:r>
      <w:r w:rsidR="00364A1D" w:rsidRPr="000D6468">
        <w:t>Use Case U6 - Basic Distributed Energy Resource</w:t>
      </w:r>
      <w:r w:rsidR="00364A1D">
        <w:rPr>
          <w:rFonts w:eastAsia="Times New Roman" w:cstheme="minorHAnsi"/>
          <w:color w:val="222222"/>
        </w:rPr>
        <w:t xml:space="preserve">, </w:t>
      </w:r>
      <w:r w:rsidR="00364A1D">
        <w:t xml:space="preserve">Use Case U7 - </w:t>
      </w:r>
      <w:r w:rsidR="00364A1D" w:rsidRPr="006E4134">
        <w:t>Advanced Distributed Energy Resource</w:t>
      </w:r>
      <w:r w:rsidR="00C82DD8">
        <w:t xml:space="preserve">, and Use Case PR2 – Customer Discharges the PEV. </w:t>
      </w:r>
    </w:p>
    <w:p w14:paraId="7746C005" w14:textId="77777777" w:rsidR="000267E4" w:rsidRDefault="00C82DD8" w:rsidP="00A64EAD">
      <w:pPr>
        <w:pStyle w:val="Body"/>
        <w:rPr>
          <w:rStyle w:val="Strong"/>
          <w:rFonts w:asciiTheme="minorHAnsi" w:hAnsiTheme="minorHAnsi" w:cstheme="minorHAnsi"/>
          <w:b w:val="0"/>
          <w:sz w:val="22"/>
          <w:szCs w:val="22"/>
        </w:rPr>
      </w:pPr>
      <w:r w:rsidRPr="00B27311">
        <w:rPr>
          <w:rFonts w:asciiTheme="minorHAnsi" w:hAnsiTheme="minorHAnsi" w:cstheme="minorHAnsi"/>
          <w:sz w:val="22"/>
          <w:szCs w:val="22"/>
        </w:rPr>
        <w:t xml:space="preserve">Use Case U6 - </w:t>
      </w:r>
      <w:r w:rsidRPr="00B27311">
        <w:rPr>
          <w:rFonts w:asciiTheme="minorHAnsi" w:hAnsiTheme="minorHAnsi" w:cstheme="minorHAnsi"/>
          <w:sz w:val="22"/>
          <w:szCs w:val="22"/>
        </w:rPr>
        <w:t xml:space="preserve">This use case defines the communications required to allow an EMS to command a PEV to charge or discharge at an exact active power setpoint value. </w:t>
      </w:r>
      <w:r w:rsidRPr="00B27311">
        <w:rPr>
          <w:rStyle w:val="Strong"/>
          <w:rFonts w:asciiTheme="minorHAnsi" w:hAnsiTheme="minorHAnsi" w:cstheme="minorHAnsi"/>
          <w:sz w:val="22"/>
          <w:szCs w:val="22"/>
        </w:rPr>
        <w:t xml:space="preserve"> </w:t>
      </w:r>
      <w:r w:rsidRPr="00B27311">
        <w:rPr>
          <w:rStyle w:val="Strong"/>
          <w:rFonts w:asciiTheme="minorHAnsi" w:hAnsiTheme="minorHAnsi" w:cstheme="minorHAnsi"/>
          <w:b w:val="0"/>
          <w:sz w:val="22"/>
          <w:szCs w:val="22"/>
        </w:rPr>
        <w:t xml:space="preserve">It also provides the optional capability for an </w:t>
      </w:r>
      <w:r w:rsidRPr="00B27311">
        <w:rPr>
          <w:rStyle w:val="Strong"/>
          <w:rFonts w:asciiTheme="minorHAnsi" w:hAnsiTheme="minorHAnsi" w:cstheme="minorHAnsi"/>
          <w:b w:val="0"/>
          <w:sz w:val="22"/>
          <w:szCs w:val="22"/>
        </w:rPr>
        <w:lastRenderedPageBreak/>
        <w:t xml:space="preserve">EMS to limit the </w:t>
      </w:r>
      <w:r w:rsidRPr="00700B75">
        <w:rPr>
          <w:rStyle w:val="Strong"/>
          <w:rFonts w:asciiTheme="minorHAnsi" w:hAnsiTheme="minorHAnsi" w:cstheme="minorHAnsi"/>
          <w:b w:val="0"/>
          <w:sz w:val="22"/>
          <w:szCs w:val="22"/>
        </w:rPr>
        <w:t>active power flow during charging to remain at or below a setpoint value.  It is derived from the IEC 61850 immediate function (INV4) for charging and discharging a storage DER device.</w:t>
      </w:r>
    </w:p>
    <w:p w14:paraId="0B69A86F" w14:textId="39150AA9" w:rsidR="00A64EAD" w:rsidRPr="00700B75" w:rsidRDefault="00C82DD8" w:rsidP="00A64EAD">
      <w:pPr>
        <w:pStyle w:val="Body"/>
        <w:rPr>
          <w:rFonts w:asciiTheme="minorHAnsi" w:hAnsiTheme="minorHAnsi" w:cstheme="minorHAnsi"/>
          <w:b/>
          <w:sz w:val="22"/>
          <w:szCs w:val="22"/>
        </w:rPr>
      </w:pPr>
      <w:r w:rsidRPr="00700B75">
        <w:rPr>
          <w:rFonts w:asciiTheme="minorHAnsi" w:hAnsiTheme="minorHAnsi" w:cstheme="minorHAnsi"/>
          <w:b/>
          <w:sz w:val="22"/>
          <w:szCs w:val="22"/>
        </w:rPr>
        <w:tab/>
      </w:r>
    </w:p>
    <w:p w14:paraId="3C4F5471" w14:textId="44C88D10" w:rsidR="006E30C1" w:rsidRPr="006850C2" w:rsidRDefault="00A64EAD" w:rsidP="006850C2">
      <w:pPr>
        <w:rPr>
          <w:rFonts w:cstheme="minorHAnsi"/>
          <w:sz w:val="2"/>
        </w:rPr>
      </w:pPr>
      <w:r w:rsidRPr="00700B75">
        <w:rPr>
          <w:rFonts w:cstheme="minorHAnsi"/>
        </w:rPr>
        <w:t xml:space="preserve">Use Case U7 - </w:t>
      </w:r>
      <w:r w:rsidRPr="00700B75">
        <w:rPr>
          <w:rStyle w:val="Strong"/>
          <w:rFonts w:cstheme="minorHAnsi"/>
          <w:b w:val="0"/>
        </w:rPr>
        <w:t>This use case builds on U6, which is only concerned with bidirectional power conversion, and adds the communications required to take advantage of four quadrant power</w:t>
      </w:r>
      <w:r w:rsidRPr="00700B75">
        <w:rPr>
          <w:rStyle w:val="Strong"/>
          <w:rFonts w:cstheme="minorHAnsi"/>
        </w:rPr>
        <w:t xml:space="preserve"> </w:t>
      </w:r>
      <w:r w:rsidRPr="00700B75">
        <w:rPr>
          <w:rStyle w:val="Strong"/>
          <w:rFonts w:cstheme="minorHAnsi"/>
          <w:b w:val="0"/>
        </w:rPr>
        <w:t>conversions.</w:t>
      </w:r>
      <w:r w:rsidRPr="00700B75">
        <w:rPr>
          <w:rStyle w:val="Strong"/>
          <w:rFonts w:cstheme="minorHAnsi"/>
        </w:rPr>
        <w:t xml:space="preserve"> </w:t>
      </w:r>
      <w:r w:rsidRPr="00700B75">
        <w:rPr>
          <w:rFonts w:cstheme="minorHAnsi"/>
        </w:rPr>
        <w:t xml:space="preserve">Two functions are provided for direct control of reactive power by an EMS: one is based on commanding power factor and the other is based on directly commanding reactive power.  </w:t>
      </w:r>
      <w:r w:rsidRPr="00700B75">
        <w:rPr>
          <w:rStyle w:val="Strong"/>
          <w:rFonts w:cstheme="minorHAnsi"/>
          <w:b w:val="0"/>
        </w:rPr>
        <w:t>This use case also includes several autonomous functions based on IEC 61850-90-7.</w:t>
      </w:r>
      <w:r w:rsidRPr="00700B75">
        <w:rPr>
          <w:rStyle w:val="Strong"/>
          <w:rFonts w:cstheme="minorHAnsi"/>
        </w:rPr>
        <w:t xml:space="preserve">  </w:t>
      </w:r>
      <w:r w:rsidRPr="00700B75">
        <w:rPr>
          <w:rFonts w:cstheme="minorHAnsi"/>
        </w:rPr>
        <w:t xml:space="preserve">For autonomous operation using curves, the EMS will communicate with the PEV to engage a specific automatic mode and to select the specific preloaded schedules and parameters to be used during the automatic mode. The schedules to be used must be loaded to the inverter in the PEV or EVSE prior to the session.  </w:t>
      </w:r>
      <w:r w:rsidR="00B27311">
        <w:rPr>
          <w:rFonts w:cstheme="minorHAnsi"/>
        </w:rPr>
        <w:t xml:space="preserve">The functionality for Advanced DER function are referenced in the EPRI Report #3002002233 Common Functions for Smart Inverter and the object modeling for communications as applied by IEEE2030.5, IEC Technical Report </w:t>
      </w:r>
      <w:r w:rsidR="000267E4">
        <w:rPr>
          <w:rFonts w:cstheme="minorHAnsi"/>
        </w:rPr>
        <w:t xml:space="preserve">for IEC 61850-90-7, and the </w:t>
      </w:r>
      <w:r w:rsidR="000267E4" w:rsidRPr="000267E4">
        <w:t>IEEE 2030.5 Common California IOU Rule 21 Implementation Guide for Smart Inverters</w:t>
      </w:r>
      <w:r w:rsidR="00370E02" w:rsidRPr="000267E4">
        <w:rPr>
          <w:rFonts w:cstheme="minorHAnsi"/>
          <w:sz w:val="2"/>
        </w:rPr>
        <w:t xml:space="preserve"> </w:t>
      </w:r>
    </w:p>
    <w:p w14:paraId="1CCA418E" w14:textId="1088D020" w:rsidR="0071594C" w:rsidRDefault="00C82DD8" w:rsidP="00B27311">
      <w:pPr>
        <w:spacing w:after="0" w:line="240" w:lineRule="auto"/>
        <w:rPr>
          <w:rFonts w:cstheme="minorHAnsi"/>
        </w:rPr>
      </w:pPr>
      <w:r w:rsidRPr="00700B75">
        <w:rPr>
          <w:rFonts w:cstheme="minorHAnsi"/>
        </w:rPr>
        <w:t xml:space="preserve">Use Case PR2 - </w:t>
      </w:r>
      <w:r w:rsidRPr="00700B75">
        <w:rPr>
          <w:rFonts w:cstheme="minorHAnsi"/>
        </w:rPr>
        <w:t>This use case describes the specific manual actions required to enable a PEV to transfer energy to a live grid (V2G), to a home following a power failure (V2H), or to a load at a remote location (V2L).  The use of one PEV to charge another PEV (V2V) is a special case of V2L.  This use case does not describe the electronic communications between an EMS and the PEV/EVSE which is required for a PEV to serve as a Distributed Energy Resource (DER) device.  These are described in detailed use cases U6 and U7.  It does describe the actions required to enable the PEV to participate as a DER device.</w:t>
      </w:r>
    </w:p>
    <w:p w14:paraId="6BA5232E" w14:textId="39438775" w:rsidR="000267E4" w:rsidRDefault="000267E4" w:rsidP="00B27311">
      <w:pPr>
        <w:spacing w:after="0" w:line="240" w:lineRule="auto"/>
        <w:rPr>
          <w:rFonts w:cstheme="minorHAnsi"/>
        </w:rPr>
      </w:pPr>
    </w:p>
    <w:p w14:paraId="6EB07522" w14:textId="54A0F739" w:rsidR="000267E4" w:rsidRDefault="006850C2" w:rsidP="00B27311">
      <w:pPr>
        <w:spacing w:after="0" w:line="240" w:lineRule="auto"/>
        <w:rPr>
          <w:rFonts w:cstheme="minorHAnsi"/>
        </w:rPr>
      </w:pPr>
      <w:r>
        <w:rPr>
          <w:rFonts w:cstheme="minorHAnsi"/>
        </w:rPr>
        <w:t xml:space="preserve">Also discussed the application of SAE J3072 for V2G AC for authenticating the on-vehicle inverter complies to UL 1741 safety requirements for grid interconnected electronic devices. This is due to the fact the vehicle roams between sites and J3072 provides the basis for a methodology that enables Utilities to authenticate and authorize the vehicle to discharge. </w:t>
      </w:r>
    </w:p>
    <w:p w14:paraId="3E39217F" w14:textId="30C6CC2C" w:rsidR="006850C2" w:rsidRDefault="006850C2" w:rsidP="00B27311">
      <w:pPr>
        <w:spacing w:after="0" w:line="240" w:lineRule="auto"/>
        <w:rPr>
          <w:rFonts w:cstheme="minorHAnsi"/>
        </w:rPr>
      </w:pPr>
    </w:p>
    <w:p w14:paraId="29710533" w14:textId="4F0C06AB" w:rsidR="006850C2" w:rsidRDefault="00F31CE0" w:rsidP="007B1CAC">
      <w:pPr>
        <w:spacing w:after="0" w:line="240" w:lineRule="auto"/>
        <w:rPr>
          <w:rFonts w:cstheme="minorHAnsi"/>
        </w:rPr>
      </w:pPr>
      <w:r>
        <w:rPr>
          <w:rFonts w:cstheme="minorHAnsi"/>
        </w:rPr>
        <w:t xml:space="preserve">Niki Deleon provided a discussion on the context of Rule 21 for Smart Inverter functionality and applicability to EVs as a V2G reverse power flow energy resource. </w:t>
      </w:r>
      <w:r w:rsidR="007B1CAC">
        <w:rPr>
          <w:rFonts w:cstheme="minorHAnsi"/>
        </w:rPr>
        <w:t>Utilities within California have their individual Rule 21 applied requirements. The applicability of Rule 21 for EVs with AC on vehicle inverters is certified through automaker and utility adoption of SAE J3072. DC V2G vehicles do not require J3072 due to the grid connected inverter being stationary to the site within the DC Charger and is easily site permitted.</w:t>
      </w:r>
    </w:p>
    <w:p w14:paraId="1B68BB72" w14:textId="1BEBB86B" w:rsidR="007B1CAC" w:rsidRDefault="007B1CAC" w:rsidP="007B1CAC">
      <w:pPr>
        <w:spacing w:after="0" w:line="240" w:lineRule="auto"/>
        <w:rPr>
          <w:rFonts w:cstheme="minorHAnsi"/>
        </w:rPr>
      </w:pPr>
    </w:p>
    <w:p w14:paraId="3D0E9698" w14:textId="7B871A92" w:rsidR="007B1CAC" w:rsidRPr="001E073E" w:rsidRDefault="007B1CAC" w:rsidP="001E073E">
      <w:pPr>
        <w:rPr>
          <w:rFonts w:cstheme="minorHAnsi"/>
          <w:sz w:val="2"/>
        </w:rPr>
      </w:pPr>
      <w:r>
        <w:rPr>
          <w:rFonts w:cstheme="minorHAnsi"/>
        </w:rPr>
        <w:t xml:space="preserve">Determination Rule 21 applicable use case </w:t>
      </w:r>
      <w:r w:rsidR="001E073E">
        <w:rPr>
          <w:rFonts w:cstheme="minorHAnsi"/>
        </w:rPr>
        <w:t>tags are</w:t>
      </w:r>
      <w:r>
        <w:rPr>
          <w:rFonts w:cstheme="minorHAnsi"/>
        </w:rPr>
        <w:t xml:space="preserve"> fragmented and unified</w:t>
      </w:r>
      <w:r w:rsidR="001E073E">
        <w:rPr>
          <w:rFonts w:cstheme="minorHAnsi"/>
        </w:rPr>
        <w:t>. Requested that the IOU specific Rule 21 documents be uploaded to the VGI Working Group and the Common Smart Inverter Profile implementation guide</w:t>
      </w:r>
      <w:r w:rsidR="00C02EFD">
        <w:rPr>
          <w:rFonts w:cstheme="minorHAnsi"/>
        </w:rPr>
        <w:t xml:space="preserve">, </w:t>
      </w:r>
      <w:r w:rsidR="001E073E">
        <w:rPr>
          <w:rFonts w:cstheme="minorHAnsi"/>
        </w:rPr>
        <w:t xml:space="preserve">otherwise known as the </w:t>
      </w:r>
      <w:r w:rsidR="001E073E" w:rsidRPr="000267E4">
        <w:t>IEEE 2030.5 Common California IOU Rule 21 Implementation Guide for Smart Inverters</w:t>
      </w:r>
      <w:r w:rsidR="00C02EFD">
        <w:t xml:space="preserve">, </w:t>
      </w:r>
      <w:bookmarkStart w:id="0" w:name="_GoBack"/>
      <w:bookmarkEnd w:id="0"/>
      <w:r w:rsidR="001E073E" w:rsidRPr="000267E4">
        <w:rPr>
          <w:rFonts w:cstheme="minorHAnsi"/>
          <w:sz w:val="2"/>
        </w:rPr>
        <w:t xml:space="preserve"> </w:t>
      </w:r>
      <w:r w:rsidR="001E073E">
        <w:rPr>
          <w:rFonts w:cstheme="minorHAnsi"/>
          <w:sz w:val="2"/>
        </w:rPr>
        <w:t xml:space="preserve">   </w:t>
      </w:r>
      <w:r w:rsidR="00C02EFD">
        <w:rPr>
          <w:rFonts w:cstheme="minorHAnsi"/>
          <w:sz w:val="2"/>
        </w:rPr>
        <w:t xml:space="preserve">, </w:t>
      </w:r>
      <w:r w:rsidR="001E073E">
        <w:rPr>
          <w:rFonts w:cstheme="minorHAnsi"/>
          <w:sz w:val="2"/>
        </w:rPr>
        <w:t xml:space="preserve"> </w:t>
      </w:r>
      <w:r w:rsidR="001E073E">
        <w:rPr>
          <w:rFonts w:cstheme="minorHAnsi"/>
        </w:rPr>
        <w:t xml:space="preserve">to the shared VGI Working Group Drive. </w:t>
      </w:r>
    </w:p>
    <w:sectPr w:rsidR="007B1CAC" w:rsidRPr="001E07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C0CAB"/>
    <w:multiLevelType w:val="hybridMultilevel"/>
    <w:tmpl w:val="3B8E04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2F4862"/>
    <w:multiLevelType w:val="hybridMultilevel"/>
    <w:tmpl w:val="21BA3F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8E7712"/>
    <w:multiLevelType w:val="hybridMultilevel"/>
    <w:tmpl w:val="DC16E0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410A24"/>
    <w:multiLevelType w:val="hybridMultilevel"/>
    <w:tmpl w:val="496C24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4428E9"/>
    <w:multiLevelType w:val="hybridMultilevel"/>
    <w:tmpl w:val="66CE6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BF5BA3"/>
    <w:multiLevelType w:val="hybridMultilevel"/>
    <w:tmpl w:val="8A8EE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AA27644"/>
    <w:multiLevelType w:val="hybridMultilevel"/>
    <w:tmpl w:val="CC6A9AE8"/>
    <w:lvl w:ilvl="0" w:tplc="50C065C8">
      <w:start w:val="1"/>
      <w:numFmt w:val="bullet"/>
      <w:lvlText w:val="•"/>
      <w:lvlJc w:val="left"/>
      <w:pPr>
        <w:tabs>
          <w:tab w:val="num" w:pos="720"/>
        </w:tabs>
        <w:ind w:left="720" w:hanging="360"/>
      </w:pPr>
      <w:rPr>
        <w:rFonts w:ascii="Arial" w:hAnsi="Arial" w:hint="default"/>
      </w:rPr>
    </w:lvl>
    <w:lvl w:ilvl="1" w:tplc="478C5008" w:tentative="1">
      <w:start w:val="1"/>
      <w:numFmt w:val="bullet"/>
      <w:lvlText w:val="•"/>
      <w:lvlJc w:val="left"/>
      <w:pPr>
        <w:tabs>
          <w:tab w:val="num" w:pos="1440"/>
        </w:tabs>
        <w:ind w:left="1440" w:hanging="360"/>
      </w:pPr>
      <w:rPr>
        <w:rFonts w:ascii="Arial" w:hAnsi="Arial" w:hint="default"/>
      </w:rPr>
    </w:lvl>
    <w:lvl w:ilvl="2" w:tplc="D8CE01B6" w:tentative="1">
      <w:start w:val="1"/>
      <w:numFmt w:val="bullet"/>
      <w:lvlText w:val="•"/>
      <w:lvlJc w:val="left"/>
      <w:pPr>
        <w:tabs>
          <w:tab w:val="num" w:pos="2160"/>
        </w:tabs>
        <w:ind w:left="2160" w:hanging="360"/>
      </w:pPr>
      <w:rPr>
        <w:rFonts w:ascii="Arial" w:hAnsi="Arial" w:hint="default"/>
      </w:rPr>
    </w:lvl>
    <w:lvl w:ilvl="3" w:tplc="229644F2" w:tentative="1">
      <w:start w:val="1"/>
      <w:numFmt w:val="bullet"/>
      <w:lvlText w:val="•"/>
      <w:lvlJc w:val="left"/>
      <w:pPr>
        <w:tabs>
          <w:tab w:val="num" w:pos="2880"/>
        </w:tabs>
        <w:ind w:left="2880" w:hanging="360"/>
      </w:pPr>
      <w:rPr>
        <w:rFonts w:ascii="Arial" w:hAnsi="Arial" w:hint="default"/>
      </w:rPr>
    </w:lvl>
    <w:lvl w:ilvl="4" w:tplc="8C3A32BE" w:tentative="1">
      <w:start w:val="1"/>
      <w:numFmt w:val="bullet"/>
      <w:lvlText w:val="•"/>
      <w:lvlJc w:val="left"/>
      <w:pPr>
        <w:tabs>
          <w:tab w:val="num" w:pos="3600"/>
        </w:tabs>
        <w:ind w:left="3600" w:hanging="360"/>
      </w:pPr>
      <w:rPr>
        <w:rFonts w:ascii="Arial" w:hAnsi="Arial" w:hint="default"/>
      </w:rPr>
    </w:lvl>
    <w:lvl w:ilvl="5" w:tplc="306C1A2C" w:tentative="1">
      <w:start w:val="1"/>
      <w:numFmt w:val="bullet"/>
      <w:lvlText w:val="•"/>
      <w:lvlJc w:val="left"/>
      <w:pPr>
        <w:tabs>
          <w:tab w:val="num" w:pos="4320"/>
        </w:tabs>
        <w:ind w:left="4320" w:hanging="360"/>
      </w:pPr>
      <w:rPr>
        <w:rFonts w:ascii="Arial" w:hAnsi="Arial" w:hint="default"/>
      </w:rPr>
    </w:lvl>
    <w:lvl w:ilvl="6" w:tplc="60202690" w:tentative="1">
      <w:start w:val="1"/>
      <w:numFmt w:val="bullet"/>
      <w:lvlText w:val="•"/>
      <w:lvlJc w:val="left"/>
      <w:pPr>
        <w:tabs>
          <w:tab w:val="num" w:pos="5040"/>
        </w:tabs>
        <w:ind w:left="5040" w:hanging="360"/>
      </w:pPr>
      <w:rPr>
        <w:rFonts w:ascii="Arial" w:hAnsi="Arial" w:hint="default"/>
      </w:rPr>
    </w:lvl>
    <w:lvl w:ilvl="7" w:tplc="EF4A8C70" w:tentative="1">
      <w:start w:val="1"/>
      <w:numFmt w:val="bullet"/>
      <w:lvlText w:val="•"/>
      <w:lvlJc w:val="left"/>
      <w:pPr>
        <w:tabs>
          <w:tab w:val="num" w:pos="5760"/>
        </w:tabs>
        <w:ind w:left="5760" w:hanging="360"/>
      </w:pPr>
      <w:rPr>
        <w:rFonts w:ascii="Arial" w:hAnsi="Arial" w:hint="default"/>
      </w:rPr>
    </w:lvl>
    <w:lvl w:ilvl="8" w:tplc="392A5AA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
  </w:num>
  <w:num w:numId="4">
    <w:abstractNumId w:val="0"/>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59E"/>
    <w:rsid w:val="000267E4"/>
    <w:rsid w:val="00134AE1"/>
    <w:rsid w:val="001C2AA2"/>
    <w:rsid w:val="001D6731"/>
    <w:rsid w:val="001E073E"/>
    <w:rsid w:val="003206AB"/>
    <w:rsid w:val="00364A1D"/>
    <w:rsid w:val="00370E02"/>
    <w:rsid w:val="003B03D0"/>
    <w:rsid w:val="003C721A"/>
    <w:rsid w:val="0040573D"/>
    <w:rsid w:val="00447985"/>
    <w:rsid w:val="004A5393"/>
    <w:rsid w:val="004D5B4C"/>
    <w:rsid w:val="00561D0F"/>
    <w:rsid w:val="0061594B"/>
    <w:rsid w:val="00683740"/>
    <w:rsid w:val="006850C2"/>
    <w:rsid w:val="006E30C1"/>
    <w:rsid w:val="00700B75"/>
    <w:rsid w:val="0071594C"/>
    <w:rsid w:val="00737643"/>
    <w:rsid w:val="007B1CAC"/>
    <w:rsid w:val="007D459E"/>
    <w:rsid w:val="008711B7"/>
    <w:rsid w:val="0087133A"/>
    <w:rsid w:val="00881005"/>
    <w:rsid w:val="008851AF"/>
    <w:rsid w:val="008F598B"/>
    <w:rsid w:val="009308C7"/>
    <w:rsid w:val="00977727"/>
    <w:rsid w:val="009869E2"/>
    <w:rsid w:val="0099574A"/>
    <w:rsid w:val="009D3F91"/>
    <w:rsid w:val="009D7319"/>
    <w:rsid w:val="00A0608C"/>
    <w:rsid w:val="00A25EEE"/>
    <w:rsid w:val="00A64EAD"/>
    <w:rsid w:val="00AE6ED5"/>
    <w:rsid w:val="00AE7389"/>
    <w:rsid w:val="00AF2C2F"/>
    <w:rsid w:val="00B11B74"/>
    <w:rsid w:val="00B27311"/>
    <w:rsid w:val="00B77B09"/>
    <w:rsid w:val="00B82E7B"/>
    <w:rsid w:val="00C02EFD"/>
    <w:rsid w:val="00C279F5"/>
    <w:rsid w:val="00C45604"/>
    <w:rsid w:val="00C82DD8"/>
    <w:rsid w:val="00D22A4C"/>
    <w:rsid w:val="00D25ACD"/>
    <w:rsid w:val="00DE1394"/>
    <w:rsid w:val="00E05FA2"/>
    <w:rsid w:val="00E94129"/>
    <w:rsid w:val="00F31CE0"/>
    <w:rsid w:val="00F5499A"/>
    <w:rsid w:val="00F70660"/>
    <w:rsid w:val="00F76337"/>
    <w:rsid w:val="00FB3A8F"/>
    <w:rsid w:val="00FB7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891BD"/>
  <w15:chartTrackingRefBased/>
  <w15:docId w15:val="{51A982B6-7882-4DD2-B82C-B364BDAD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33A"/>
    <w:pPr>
      <w:ind w:left="720"/>
      <w:contextualSpacing/>
    </w:pPr>
  </w:style>
  <w:style w:type="paragraph" w:styleId="BalloonText">
    <w:name w:val="Balloon Text"/>
    <w:basedOn w:val="Normal"/>
    <w:link w:val="BalloonTextChar"/>
    <w:uiPriority w:val="99"/>
    <w:semiHidden/>
    <w:unhideWhenUsed/>
    <w:rsid w:val="009308C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308C7"/>
    <w:rPr>
      <w:rFonts w:ascii="Times New Roman" w:hAnsi="Times New Roman" w:cs="Times New Roman"/>
      <w:sz w:val="18"/>
      <w:szCs w:val="18"/>
    </w:rPr>
  </w:style>
  <w:style w:type="paragraph" w:customStyle="1" w:styleId="Body">
    <w:name w:val="Body"/>
    <w:basedOn w:val="Normal"/>
    <w:link w:val="BodyChar"/>
    <w:rsid w:val="00C82DD8"/>
    <w:pPr>
      <w:spacing w:before="240" w:after="0" w:line="240" w:lineRule="auto"/>
      <w:jc w:val="both"/>
    </w:pPr>
    <w:rPr>
      <w:rFonts w:ascii="Arial" w:eastAsia="Times New Roman" w:hAnsi="Arial" w:cs="Times New Roman"/>
      <w:color w:val="000000"/>
      <w:sz w:val="20"/>
      <w:szCs w:val="20"/>
    </w:rPr>
  </w:style>
  <w:style w:type="character" w:styleId="Strong">
    <w:name w:val="Strong"/>
    <w:uiPriority w:val="22"/>
    <w:qFormat/>
    <w:rsid w:val="00C82DD8"/>
    <w:rPr>
      <w:b/>
      <w:bCs/>
    </w:rPr>
  </w:style>
  <w:style w:type="character" w:customStyle="1" w:styleId="BodyChar">
    <w:name w:val="Body Char"/>
    <w:basedOn w:val="DefaultParagraphFont"/>
    <w:link w:val="Body"/>
    <w:rsid w:val="00C82DD8"/>
    <w:rPr>
      <w:rFonts w:ascii="Arial" w:eastAsia="Times New Roman" w:hAnsi="Arial"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19642">
      <w:bodyDiv w:val="1"/>
      <w:marLeft w:val="0"/>
      <w:marRight w:val="0"/>
      <w:marTop w:val="0"/>
      <w:marBottom w:val="0"/>
      <w:divBdr>
        <w:top w:val="none" w:sz="0" w:space="0" w:color="auto"/>
        <w:left w:val="none" w:sz="0" w:space="0" w:color="auto"/>
        <w:bottom w:val="none" w:sz="0" w:space="0" w:color="auto"/>
        <w:right w:val="none" w:sz="0" w:space="0" w:color="auto"/>
      </w:divBdr>
    </w:div>
    <w:div w:id="560290177">
      <w:bodyDiv w:val="1"/>
      <w:marLeft w:val="0"/>
      <w:marRight w:val="0"/>
      <w:marTop w:val="0"/>
      <w:marBottom w:val="0"/>
      <w:divBdr>
        <w:top w:val="none" w:sz="0" w:space="0" w:color="auto"/>
        <w:left w:val="none" w:sz="0" w:space="0" w:color="auto"/>
        <w:bottom w:val="none" w:sz="0" w:space="0" w:color="auto"/>
        <w:right w:val="none" w:sz="0" w:space="0" w:color="auto"/>
      </w:divBdr>
      <w:divsChild>
        <w:div w:id="107612676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Bellino</dc:creator>
  <cp:keywords/>
  <dc:description/>
  <cp:lastModifiedBy>George Bellino</cp:lastModifiedBy>
  <cp:revision>3</cp:revision>
  <dcterms:created xsi:type="dcterms:W3CDTF">2017-06-26T22:50:00Z</dcterms:created>
  <dcterms:modified xsi:type="dcterms:W3CDTF">2017-06-26T22:51:00Z</dcterms:modified>
</cp:coreProperties>
</file>